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C8D81" w14:textId="77777777" w:rsidR="00EA417F" w:rsidRDefault="00EA417F"/>
    <w:tbl>
      <w:tblPr>
        <w:tblStyle w:val="TableGrid2"/>
        <w:tblW w:w="10885" w:type="dxa"/>
        <w:tblLook w:val="04A0" w:firstRow="1" w:lastRow="0" w:firstColumn="1" w:lastColumn="0" w:noHBand="0" w:noVBand="1"/>
      </w:tblPr>
      <w:tblGrid>
        <w:gridCol w:w="2651"/>
        <w:gridCol w:w="3374"/>
        <w:gridCol w:w="2459"/>
        <w:gridCol w:w="2401"/>
      </w:tblGrid>
      <w:tr w:rsidR="00EA417F" w:rsidRPr="00E25F15" w14:paraId="244B0ADE" w14:textId="77777777" w:rsidTr="00E25F15">
        <w:trPr>
          <w:trHeight w:val="1109"/>
        </w:trPr>
        <w:tc>
          <w:tcPr>
            <w:tcW w:w="2651" w:type="dxa"/>
            <w:vAlign w:val="center"/>
          </w:tcPr>
          <w:p w14:paraId="3906F881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bookmarkStart w:id="0" w:name="_Hlk174256018"/>
            <w:bookmarkStart w:id="1" w:name="_Hlk164566063"/>
            <w:r w:rsidRPr="00E25F15">
              <w:rPr>
                <w:sz w:val="28"/>
                <w:szCs w:val="28"/>
                <w:lang w:eastAsia="de-DE"/>
              </w:rPr>
              <w:t>Cue</w:t>
            </w:r>
          </w:p>
        </w:tc>
        <w:tc>
          <w:tcPr>
            <w:tcW w:w="3374" w:type="dxa"/>
            <w:vAlign w:val="center"/>
          </w:tcPr>
          <w:p w14:paraId="5B783FF5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Effective distance range</w:t>
            </w:r>
          </w:p>
        </w:tc>
        <w:tc>
          <w:tcPr>
            <w:tcW w:w="2459" w:type="dxa"/>
            <w:vAlign w:val="center"/>
          </w:tcPr>
          <w:p w14:paraId="2F3A84B4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As objects get closer …</w:t>
            </w:r>
          </w:p>
        </w:tc>
        <w:tc>
          <w:tcPr>
            <w:tcW w:w="2401" w:type="dxa"/>
            <w:vAlign w:val="center"/>
          </w:tcPr>
          <w:p w14:paraId="7301BA0A" w14:textId="77777777" w:rsidR="00EA417F" w:rsidRPr="00E25F15" w:rsidRDefault="00EA417F" w:rsidP="00EA417F">
            <w:pPr>
              <w:spacing w:before="0"/>
              <w:jc w:val="center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Likelihood of the batter using this cue to track the pitch</w:t>
            </w:r>
          </w:p>
        </w:tc>
      </w:tr>
      <w:tr w:rsidR="00EA417F" w:rsidRPr="00E25F15" w14:paraId="2A10D458" w14:textId="77777777" w:rsidTr="00E25F15">
        <w:trPr>
          <w:trHeight w:val="554"/>
        </w:trPr>
        <w:tc>
          <w:tcPr>
            <w:tcW w:w="2651" w:type="dxa"/>
            <w:vAlign w:val="center"/>
          </w:tcPr>
          <w:p w14:paraId="6DECBC97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shd w:val="clear" w:color="auto" w:fill="FFFFFF"/>
                <w:lang w:eastAsia="de-DE"/>
              </w:rPr>
            </w:pPr>
            <w:bookmarkStart w:id="2" w:name="_Hlk164524186"/>
            <w:bookmarkStart w:id="3" w:name="_Hlk166510629"/>
            <w:r w:rsidRPr="00E25F15">
              <w:rPr>
                <w:sz w:val="28"/>
                <w:szCs w:val="28"/>
                <w:shd w:val="clear" w:color="auto" w:fill="FFFFFF"/>
                <w:lang w:eastAsia="de-DE"/>
              </w:rPr>
              <w:t>Binocular disparity</w:t>
            </w:r>
            <w:bookmarkEnd w:id="2"/>
          </w:p>
        </w:tc>
        <w:tc>
          <w:tcPr>
            <w:tcW w:w="3374" w:type="dxa"/>
            <w:vAlign w:val="center"/>
          </w:tcPr>
          <w:p w14:paraId="2E0BD3CF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Six inches to 54 feet, or farther.</w:t>
            </w:r>
          </w:p>
        </w:tc>
        <w:tc>
          <w:tcPr>
            <w:tcW w:w="2459" w:type="dxa"/>
            <w:vAlign w:val="center"/>
          </w:tcPr>
          <w:p w14:paraId="16C975DB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Disparity becomes larger</w:t>
            </w:r>
          </w:p>
        </w:tc>
        <w:tc>
          <w:tcPr>
            <w:tcW w:w="2401" w:type="dxa"/>
            <w:vAlign w:val="center"/>
          </w:tcPr>
          <w:p w14:paraId="49BB1B3D" w14:textId="77777777" w:rsidR="00EA417F" w:rsidRPr="00E25F15" w:rsidRDefault="00EA417F" w:rsidP="00EA417F">
            <w:pPr>
              <w:spacing w:before="0"/>
              <w:jc w:val="center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10</w:t>
            </w:r>
          </w:p>
        </w:tc>
      </w:tr>
      <w:tr w:rsidR="00EA417F" w:rsidRPr="00E25F15" w14:paraId="32A11A95" w14:textId="77777777" w:rsidTr="00E25F15">
        <w:trPr>
          <w:trHeight w:val="1118"/>
        </w:trPr>
        <w:tc>
          <w:tcPr>
            <w:tcW w:w="2651" w:type="dxa"/>
            <w:vAlign w:val="center"/>
          </w:tcPr>
          <w:p w14:paraId="62AEFDFF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shd w:val="clear" w:color="auto" w:fill="FFFFFF"/>
                <w:lang w:eastAsia="de-DE"/>
              </w:rPr>
            </w:pPr>
            <w:bookmarkStart w:id="4" w:name="_Hlk174256260"/>
            <w:bookmarkStart w:id="5" w:name="_Hlk167092895"/>
            <w:bookmarkEnd w:id="0"/>
            <w:r w:rsidRPr="00E25F15">
              <w:rPr>
                <w:sz w:val="28"/>
                <w:szCs w:val="28"/>
                <w:shd w:val="clear" w:color="auto" w:fill="FFFFFF"/>
                <w:lang w:eastAsia="de-DE"/>
              </w:rPr>
              <w:t>Retinal speed for moving targets</w:t>
            </w:r>
          </w:p>
        </w:tc>
        <w:tc>
          <w:tcPr>
            <w:tcW w:w="3374" w:type="dxa"/>
            <w:vAlign w:val="center"/>
          </w:tcPr>
          <w:p w14:paraId="6E530B28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 xml:space="preserve">Until </w:t>
            </w:r>
            <w:r w:rsidRPr="00E25F15">
              <w:rPr>
                <w:rFonts w:eastAsiaTheme="minorHAnsi"/>
                <w:kern w:val="2"/>
                <w:position w:val="-6"/>
                <w:sz w:val="28"/>
                <w:szCs w:val="28"/>
                <w:lang w:eastAsia="de-DE"/>
                <w14:ligatures w14:val="standardContextual"/>
              </w:rPr>
              <w:object w:dxaOrig="740" w:dyaOrig="279" w14:anchorId="4A5EFC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37.5pt;height:14.25pt" o:ole="" fillcolor="window">
                  <v:imagedata r:id="rId5" o:title=""/>
                </v:shape>
                <o:OLEObject Type="Embed" ProgID="Equation.DSMT4" ShapeID="_x0000_i1026" DrawAspect="Content" ObjectID="_1786342262" r:id="rId6"/>
              </w:object>
            </w:r>
            <w:r w:rsidRPr="00E25F15">
              <w:rPr>
                <w:sz w:val="28"/>
                <w:szCs w:val="28"/>
                <w:lang w:eastAsia="de-DE"/>
              </w:rPr>
              <w:t xml:space="preserve"> exceeds 60 deg/s around 20 ft in front of the plate.</w:t>
            </w:r>
          </w:p>
        </w:tc>
        <w:tc>
          <w:tcPr>
            <w:tcW w:w="2459" w:type="dxa"/>
            <w:vAlign w:val="center"/>
          </w:tcPr>
          <w:p w14:paraId="02DFF07A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It becomes too fast</w:t>
            </w:r>
          </w:p>
        </w:tc>
        <w:tc>
          <w:tcPr>
            <w:tcW w:w="2401" w:type="dxa"/>
            <w:vAlign w:val="center"/>
          </w:tcPr>
          <w:p w14:paraId="64191E02" w14:textId="77777777" w:rsidR="00EA417F" w:rsidRPr="00E25F15" w:rsidRDefault="00EA417F" w:rsidP="00EA417F">
            <w:pPr>
              <w:spacing w:before="0"/>
              <w:jc w:val="center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10</w:t>
            </w:r>
          </w:p>
        </w:tc>
      </w:tr>
      <w:bookmarkEnd w:id="4"/>
      <w:tr w:rsidR="00EA417F" w:rsidRPr="00E25F15" w14:paraId="32D2391B" w14:textId="77777777" w:rsidTr="00E25F15">
        <w:trPr>
          <w:trHeight w:val="282"/>
        </w:trPr>
        <w:tc>
          <w:tcPr>
            <w:tcW w:w="2651" w:type="dxa"/>
            <w:vAlign w:val="center"/>
          </w:tcPr>
          <w:p w14:paraId="6985872A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shd w:val="clear" w:color="auto" w:fill="FFFFFF"/>
                <w:lang w:eastAsia="de-DE"/>
              </w:rPr>
            </w:pPr>
            <w:r w:rsidRPr="00E25F15">
              <w:rPr>
                <w:sz w:val="28"/>
                <w:szCs w:val="28"/>
                <w:shd w:val="clear" w:color="auto" w:fill="FFFFFF"/>
                <w:lang w:eastAsia="de-DE"/>
              </w:rPr>
              <w:t>Apparent size</w:t>
            </w:r>
          </w:p>
        </w:tc>
        <w:tc>
          <w:tcPr>
            <w:tcW w:w="3374" w:type="dxa"/>
            <w:vAlign w:val="center"/>
          </w:tcPr>
          <w:p w14:paraId="429F4993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Any distance</w:t>
            </w:r>
          </w:p>
        </w:tc>
        <w:tc>
          <w:tcPr>
            <w:tcW w:w="2459" w:type="dxa"/>
            <w:vAlign w:val="center"/>
          </w:tcPr>
          <w:p w14:paraId="73D654C8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Images expand</w:t>
            </w:r>
          </w:p>
        </w:tc>
        <w:tc>
          <w:tcPr>
            <w:tcW w:w="2401" w:type="dxa"/>
            <w:vAlign w:val="center"/>
          </w:tcPr>
          <w:p w14:paraId="007F6855" w14:textId="77777777" w:rsidR="00EA417F" w:rsidRPr="00E25F15" w:rsidRDefault="00EA417F" w:rsidP="00EA417F">
            <w:pPr>
              <w:spacing w:before="0"/>
              <w:jc w:val="center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10</w:t>
            </w:r>
          </w:p>
        </w:tc>
      </w:tr>
      <w:bookmarkEnd w:id="5"/>
      <w:tr w:rsidR="00EA417F" w:rsidRPr="00E25F15" w14:paraId="799ADE62" w14:textId="77777777" w:rsidTr="00E25F15">
        <w:trPr>
          <w:trHeight w:val="273"/>
        </w:trPr>
        <w:tc>
          <w:tcPr>
            <w:tcW w:w="2651" w:type="dxa"/>
            <w:vAlign w:val="center"/>
          </w:tcPr>
          <w:p w14:paraId="45E58B70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shd w:val="clear" w:color="auto" w:fill="FFFFFF"/>
                <w:lang w:eastAsia="de-DE"/>
              </w:rPr>
              <w:t>Luminance</w:t>
            </w:r>
          </w:p>
        </w:tc>
        <w:tc>
          <w:tcPr>
            <w:tcW w:w="3374" w:type="dxa"/>
            <w:vAlign w:val="center"/>
          </w:tcPr>
          <w:p w14:paraId="122329BC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Any distance</w:t>
            </w:r>
          </w:p>
        </w:tc>
        <w:tc>
          <w:tcPr>
            <w:tcW w:w="2459" w:type="dxa"/>
            <w:vAlign w:val="center"/>
          </w:tcPr>
          <w:p w14:paraId="6A04CB97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Increases</w:t>
            </w:r>
          </w:p>
        </w:tc>
        <w:tc>
          <w:tcPr>
            <w:tcW w:w="2401" w:type="dxa"/>
            <w:vAlign w:val="center"/>
          </w:tcPr>
          <w:p w14:paraId="550345D5" w14:textId="77777777" w:rsidR="00EA417F" w:rsidRPr="00E25F15" w:rsidRDefault="00EA417F" w:rsidP="00EA417F">
            <w:pPr>
              <w:spacing w:before="0"/>
              <w:jc w:val="center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6</w:t>
            </w:r>
          </w:p>
        </w:tc>
      </w:tr>
      <w:tr w:rsidR="00EA417F" w:rsidRPr="00E25F15" w14:paraId="4FEC423D" w14:textId="77777777" w:rsidTr="00E25F15">
        <w:trPr>
          <w:trHeight w:val="836"/>
        </w:trPr>
        <w:tc>
          <w:tcPr>
            <w:tcW w:w="2651" w:type="dxa"/>
            <w:vAlign w:val="center"/>
          </w:tcPr>
          <w:p w14:paraId="455245EB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Optical expansion</w:t>
            </w:r>
          </w:p>
        </w:tc>
        <w:tc>
          <w:tcPr>
            <w:tcW w:w="3374" w:type="dxa"/>
            <w:vAlign w:val="center"/>
          </w:tcPr>
          <w:p w14:paraId="00512D01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Any distance, but stronger at a closer range</w:t>
            </w:r>
          </w:p>
        </w:tc>
        <w:tc>
          <w:tcPr>
            <w:tcW w:w="2459" w:type="dxa"/>
            <w:vAlign w:val="center"/>
          </w:tcPr>
          <w:p w14:paraId="453830AB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Images expand</w:t>
            </w:r>
          </w:p>
        </w:tc>
        <w:tc>
          <w:tcPr>
            <w:tcW w:w="2401" w:type="dxa"/>
            <w:vAlign w:val="center"/>
          </w:tcPr>
          <w:p w14:paraId="17AFD788" w14:textId="77777777" w:rsidR="00EA417F" w:rsidRPr="00E25F15" w:rsidRDefault="00EA417F" w:rsidP="00EA417F">
            <w:pPr>
              <w:spacing w:before="0"/>
              <w:jc w:val="center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4</w:t>
            </w:r>
          </w:p>
        </w:tc>
      </w:tr>
      <w:tr w:rsidR="00EA417F" w:rsidRPr="00E25F15" w14:paraId="05A84950" w14:textId="77777777" w:rsidTr="00E25F15">
        <w:trPr>
          <w:trHeight w:val="827"/>
        </w:trPr>
        <w:tc>
          <w:tcPr>
            <w:tcW w:w="2651" w:type="dxa"/>
            <w:vAlign w:val="center"/>
          </w:tcPr>
          <w:p w14:paraId="35B60317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shd w:val="clear" w:color="auto" w:fill="FFFFFF"/>
                <w:lang w:eastAsia="de-DE"/>
              </w:rPr>
              <w:t>Occlusion</w:t>
            </w:r>
          </w:p>
        </w:tc>
        <w:tc>
          <w:tcPr>
            <w:tcW w:w="3374" w:type="dxa"/>
            <w:vAlign w:val="center"/>
          </w:tcPr>
          <w:p w14:paraId="22A15689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Only exists at the release point</w:t>
            </w:r>
          </w:p>
        </w:tc>
        <w:tc>
          <w:tcPr>
            <w:tcW w:w="2459" w:type="dxa"/>
            <w:vAlign w:val="center"/>
          </w:tcPr>
          <w:p w14:paraId="22817CB2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It goes away when the pitcher releases the ball</w:t>
            </w:r>
          </w:p>
        </w:tc>
        <w:tc>
          <w:tcPr>
            <w:tcW w:w="2401" w:type="dxa"/>
            <w:vAlign w:val="center"/>
          </w:tcPr>
          <w:p w14:paraId="5C99719C" w14:textId="77777777" w:rsidR="00EA417F" w:rsidRPr="00E25F15" w:rsidRDefault="00EA417F" w:rsidP="00EA417F">
            <w:pPr>
              <w:spacing w:before="0"/>
              <w:jc w:val="center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3</w:t>
            </w:r>
          </w:p>
        </w:tc>
      </w:tr>
      <w:tr w:rsidR="00EA417F" w:rsidRPr="00E25F15" w14:paraId="564AA309" w14:textId="77777777" w:rsidTr="00E25F15">
        <w:trPr>
          <w:trHeight w:val="836"/>
        </w:trPr>
        <w:tc>
          <w:tcPr>
            <w:tcW w:w="2651" w:type="dxa"/>
            <w:vAlign w:val="center"/>
          </w:tcPr>
          <w:p w14:paraId="24113B29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shd w:val="clear" w:color="auto" w:fill="FFFFFF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 xml:space="preserve">Looming, an object heading straight at the head </w:t>
            </w:r>
          </w:p>
        </w:tc>
        <w:tc>
          <w:tcPr>
            <w:tcW w:w="3374" w:type="dxa"/>
            <w:vAlign w:val="center"/>
          </w:tcPr>
          <w:p w14:paraId="4417571B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Any distance, but stronger at closer range</w:t>
            </w:r>
          </w:p>
        </w:tc>
        <w:tc>
          <w:tcPr>
            <w:tcW w:w="2459" w:type="dxa"/>
            <w:vAlign w:val="center"/>
          </w:tcPr>
          <w:p w14:paraId="4E757E06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Images expand</w:t>
            </w:r>
          </w:p>
        </w:tc>
        <w:tc>
          <w:tcPr>
            <w:tcW w:w="2401" w:type="dxa"/>
            <w:vAlign w:val="center"/>
          </w:tcPr>
          <w:p w14:paraId="0C709682" w14:textId="77777777" w:rsidR="00EA417F" w:rsidRPr="00E25F15" w:rsidRDefault="00EA417F" w:rsidP="00EA417F">
            <w:pPr>
              <w:spacing w:before="0"/>
              <w:jc w:val="center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2</w:t>
            </w:r>
          </w:p>
        </w:tc>
      </w:tr>
      <w:tr w:rsidR="00EA417F" w:rsidRPr="00E25F15" w14:paraId="322250DE" w14:textId="77777777" w:rsidTr="00E25F15">
        <w:trPr>
          <w:trHeight w:val="273"/>
        </w:trPr>
        <w:tc>
          <w:tcPr>
            <w:tcW w:w="2651" w:type="dxa"/>
            <w:vAlign w:val="center"/>
          </w:tcPr>
          <w:p w14:paraId="085D77C0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shd w:val="clear" w:color="auto" w:fill="FFFFFF"/>
                <w:lang w:eastAsia="de-DE"/>
              </w:rPr>
            </w:pPr>
            <w:r w:rsidRPr="00E25F15">
              <w:rPr>
                <w:sz w:val="28"/>
                <w:szCs w:val="28"/>
                <w:shd w:val="clear" w:color="auto" w:fill="FFFFFF"/>
                <w:lang w:eastAsia="de-DE"/>
              </w:rPr>
              <w:t>Texture</w:t>
            </w:r>
          </w:p>
        </w:tc>
        <w:tc>
          <w:tcPr>
            <w:tcW w:w="3374" w:type="dxa"/>
            <w:vAlign w:val="center"/>
          </w:tcPr>
          <w:p w14:paraId="04C7AE4F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Any distance</w:t>
            </w:r>
          </w:p>
        </w:tc>
        <w:tc>
          <w:tcPr>
            <w:tcW w:w="2459" w:type="dxa"/>
            <w:vAlign w:val="center"/>
          </w:tcPr>
          <w:p w14:paraId="7B76D0F5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The texture becomes more distinct</w:t>
            </w:r>
          </w:p>
        </w:tc>
        <w:tc>
          <w:tcPr>
            <w:tcW w:w="2401" w:type="dxa"/>
            <w:vAlign w:val="center"/>
          </w:tcPr>
          <w:p w14:paraId="183B330E" w14:textId="77777777" w:rsidR="00EA417F" w:rsidRPr="00E25F15" w:rsidRDefault="00EA417F" w:rsidP="00EA417F">
            <w:pPr>
              <w:spacing w:before="0"/>
              <w:jc w:val="center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1, the seams</w:t>
            </w:r>
          </w:p>
        </w:tc>
      </w:tr>
      <w:tr w:rsidR="00EA417F" w:rsidRPr="00E25F15" w14:paraId="29FFA8B0" w14:textId="77777777" w:rsidTr="00E25F15">
        <w:trPr>
          <w:trHeight w:val="273"/>
        </w:trPr>
        <w:tc>
          <w:tcPr>
            <w:tcW w:w="2651" w:type="dxa"/>
            <w:vAlign w:val="center"/>
          </w:tcPr>
          <w:p w14:paraId="698511A3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shd w:val="clear" w:color="auto" w:fill="FFFFFF"/>
                <w:lang w:eastAsia="de-DE"/>
              </w:rPr>
            </w:pPr>
            <w:r w:rsidRPr="00E25F15">
              <w:rPr>
                <w:sz w:val="28"/>
                <w:szCs w:val="28"/>
                <w:shd w:val="clear" w:color="auto" w:fill="FFFFFF"/>
                <w:lang w:eastAsia="de-DE"/>
              </w:rPr>
              <w:t>Luminance contrast</w:t>
            </w:r>
          </w:p>
        </w:tc>
        <w:tc>
          <w:tcPr>
            <w:tcW w:w="3374" w:type="dxa"/>
            <w:vAlign w:val="center"/>
          </w:tcPr>
          <w:p w14:paraId="310294E0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Any distance</w:t>
            </w:r>
          </w:p>
        </w:tc>
        <w:tc>
          <w:tcPr>
            <w:tcW w:w="2459" w:type="dxa"/>
            <w:vAlign w:val="center"/>
          </w:tcPr>
          <w:p w14:paraId="4B16161D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Increases</w:t>
            </w:r>
          </w:p>
        </w:tc>
        <w:tc>
          <w:tcPr>
            <w:tcW w:w="2401" w:type="dxa"/>
            <w:vAlign w:val="center"/>
          </w:tcPr>
          <w:p w14:paraId="295B2DFA" w14:textId="77777777" w:rsidR="00EA417F" w:rsidRPr="00E25F15" w:rsidRDefault="00EA417F" w:rsidP="00EA417F">
            <w:pPr>
              <w:spacing w:before="0"/>
              <w:jc w:val="center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1</w:t>
            </w:r>
          </w:p>
        </w:tc>
      </w:tr>
      <w:tr w:rsidR="00EA417F" w:rsidRPr="00E25F15" w14:paraId="0C50BCD5" w14:textId="77777777" w:rsidTr="00E25F15">
        <w:trPr>
          <w:trHeight w:val="836"/>
        </w:trPr>
        <w:tc>
          <w:tcPr>
            <w:tcW w:w="2651" w:type="dxa"/>
            <w:vAlign w:val="center"/>
          </w:tcPr>
          <w:p w14:paraId="4FF72BBF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Motion parallax, due to observer motion</w:t>
            </w:r>
          </w:p>
        </w:tc>
        <w:tc>
          <w:tcPr>
            <w:tcW w:w="3374" w:type="dxa"/>
            <w:vAlign w:val="center"/>
          </w:tcPr>
          <w:p w14:paraId="585626FC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Any distance, but most effective at medium range</w:t>
            </w:r>
          </w:p>
        </w:tc>
        <w:tc>
          <w:tcPr>
            <w:tcW w:w="2459" w:type="dxa"/>
            <w:vAlign w:val="center"/>
          </w:tcPr>
          <w:p w14:paraId="7C228143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Cue becomes more useful</w:t>
            </w:r>
          </w:p>
        </w:tc>
        <w:tc>
          <w:tcPr>
            <w:tcW w:w="2401" w:type="dxa"/>
            <w:vAlign w:val="center"/>
          </w:tcPr>
          <w:p w14:paraId="52C5E0DF" w14:textId="77777777" w:rsidR="00EA417F" w:rsidRPr="00E25F15" w:rsidRDefault="00EA417F" w:rsidP="00EA417F">
            <w:pPr>
              <w:spacing w:before="0"/>
              <w:jc w:val="center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1</w:t>
            </w:r>
          </w:p>
        </w:tc>
      </w:tr>
      <w:tr w:rsidR="00EA417F" w:rsidRPr="00E25F15" w14:paraId="63144CE2" w14:textId="77777777" w:rsidTr="00E25F15">
        <w:trPr>
          <w:trHeight w:val="554"/>
        </w:trPr>
        <w:tc>
          <w:tcPr>
            <w:tcW w:w="2651" w:type="dxa"/>
            <w:vAlign w:val="center"/>
          </w:tcPr>
          <w:p w14:paraId="1068E77C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bookmarkStart w:id="6" w:name="_Hlk170631681"/>
            <w:r w:rsidRPr="00E25F15">
              <w:rPr>
                <w:sz w:val="28"/>
                <w:szCs w:val="28"/>
                <w:shd w:val="clear" w:color="auto" w:fill="FFFFFF"/>
                <w:lang w:eastAsia="de-DE"/>
              </w:rPr>
              <w:t>Color saturation</w:t>
            </w:r>
          </w:p>
        </w:tc>
        <w:tc>
          <w:tcPr>
            <w:tcW w:w="3374" w:type="dxa"/>
            <w:vAlign w:val="center"/>
          </w:tcPr>
          <w:p w14:paraId="23854B0D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 xml:space="preserve">Most effective at large distances </w:t>
            </w:r>
          </w:p>
        </w:tc>
        <w:tc>
          <w:tcPr>
            <w:tcW w:w="2459" w:type="dxa"/>
            <w:vAlign w:val="center"/>
          </w:tcPr>
          <w:p w14:paraId="4B9D04BE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Image colors become more saturated</w:t>
            </w:r>
          </w:p>
        </w:tc>
        <w:tc>
          <w:tcPr>
            <w:tcW w:w="2401" w:type="dxa"/>
            <w:vAlign w:val="center"/>
          </w:tcPr>
          <w:p w14:paraId="61CBD0C0" w14:textId="77777777" w:rsidR="00EA417F" w:rsidRPr="00E25F15" w:rsidRDefault="00EA417F" w:rsidP="00EA417F">
            <w:pPr>
              <w:spacing w:before="0"/>
              <w:jc w:val="center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1</w:t>
            </w:r>
          </w:p>
        </w:tc>
      </w:tr>
      <w:tr w:rsidR="00EA417F" w:rsidRPr="00E25F15" w14:paraId="2DD11838" w14:textId="77777777" w:rsidTr="00E25F15">
        <w:trPr>
          <w:trHeight w:val="554"/>
        </w:trPr>
        <w:tc>
          <w:tcPr>
            <w:tcW w:w="2651" w:type="dxa"/>
            <w:vAlign w:val="center"/>
          </w:tcPr>
          <w:p w14:paraId="1CD672F7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Vergence angle</w:t>
            </w:r>
          </w:p>
        </w:tc>
        <w:tc>
          <w:tcPr>
            <w:tcW w:w="3374" w:type="dxa"/>
            <w:vAlign w:val="center"/>
          </w:tcPr>
          <w:p w14:paraId="6A0520AE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Four inches up to six feet*</w:t>
            </w:r>
          </w:p>
        </w:tc>
        <w:tc>
          <w:tcPr>
            <w:tcW w:w="2459" w:type="dxa"/>
            <w:vAlign w:val="center"/>
          </w:tcPr>
          <w:p w14:paraId="61C3A0D4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Decreases</w:t>
            </w:r>
          </w:p>
        </w:tc>
        <w:tc>
          <w:tcPr>
            <w:tcW w:w="2401" w:type="dxa"/>
            <w:vAlign w:val="center"/>
          </w:tcPr>
          <w:p w14:paraId="28FDDB41" w14:textId="77777777" w:rsidR="00EA417F" w:rsidRPr="00E25F15" w:rsidRDefault="00EA417F" w:rsidP="00EA417F">
            <w:pPr>
              <w:spacing w:before="0"/>
              <w:jc w:val="center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0, too slow</w:t>
            </w:r>
          </w:p>
        </w:tc>
      </w:tr>
      <w:tr w:rsidR="00EA417F" w:rsidRPr="00E25F15" w14:paraId="3B2C162C" w14:textId="77777777" w:rsidTr="00E25F15">
        <w:trPr>
          <w:trHeight w:val="282"/>
        </w:trPr>
        <w:tc>
          <w:tcPr>
            <w:tcW w:w="2651" w:type="dxa"/>
            <w:vAlign w:val="center"/>
          </w:tcPr>
          <w:p w14:paraId="499ADA62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Accommodation</w:t>
            </w:r>
          </w:p>
        </w:tc>
        <w:tc>
          <w:tcPr>
            <w:tcW w:w="3374" w:type="dxa"/>
            <w:vAlign w:val="center"/>
          </w:tcPr>
          <w:p w14:paraId="54B8CABA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*Four inches to six feet</w:t>
            </w:r>
          </w:p>
        </w:tc>
        <w:tc>
          <w:tcPr>
            <w:tcW w:w="2459" w:type="dxa"/>
            <w:vAlign w:val="center"/>
          </w:tcPr>
          <w:p w14:paraId="50461557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Ciliary muscle effort increases allowing the lens to become short and fat</w:t>
            </w:r>
          </w:p>
        </w:tc>
        <w:tc>
          <w:tcPr>
            <w:tcW w:w="2401" w:type="dxa"/>
            <w:vAlign w:val="center"/>
          </w:tcPr>
          <w:p w14:paraId="2BAD874B" w14:textId="77777777" w:rsidR="00EA417F" w:rsidRPr="00E25F15" w:rsidRDefault="00EA417F" w:rsidP="00EA417F">
            <w:pPr>
              <w:spacing w:before="0"/>
              <w:jc w:val="center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0, too slow</w:t>
            </w:r>
          </w:p>
        </w:tc>
      </w:tr>
      <w:bookmarkEnd w:id="6"/>
      <w:tr w:rsidR="00EA417F" w:rsidRPr="00E25F15" w14:paraId="57B01D3F" w14:textId="77777777" w:rsidTr="00E25F15">
        <w:trPr>
          <w:trHeight w:val="144"/>
        </w:trPr>
        <w:tc>
          <w:tcPr>
            <w:tcW w:w="2651" w:type="dxa"/>
            <w:vAlign w:val="center"/>
          </w:tcPr>
          <w:p w14:paraId="255B6C3B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Aerial perspective</w:t>
            </w:r>
          </w:p>
        </w:tc>
        <w:tc>
          <w:tcPr>
            <w:tcW w:w="3374" w:type="dxa"/>
            <w:vAlign w:val="center"/>
          </w:tcPr>
          <w:p w14:paraId="3F53C988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 xml:space="preserve">Multiple miles </w:t>
            </w:r>
          </w:p>
        </w:tc>
        <w:tc>
          <w:tcPr>
            <w:tcW w:w="2459" w:type="dxa"/>
            <w:vAlign w:val="center"/>
          </w:tcPr>
          <w:p w14:paraId="0C6745CB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The only cue that gets better with distance</w:t>
            </w:r>
          </w:p>
        </w:tc>
        <w:tc>
          <w:tcPr>
            <w:tcW w:w="2401" w:type="dxa"/>
            <w:vAlign w:val="center"/>
          </w:tcPr>
          <w:p w14:paraId="70ED38FC" w14:textId="77777777" w:rsidR="00EA417F" w:rsidRPr="00E25F15" w:rsidRDefault="00EA417F" w:rsidP="00EA417F">
            <w:pPr>
              <w:spacing w:before="0"/>
              <w:jc w:val="center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>0, too close</w:t>
            </w:r>
          </w:p>
        </w:tc>
      </w:tr>
      <w:tr w:rsidR="00EA417F" w:rsidRPr="00E25F15" w14:paraId="455A3C4F" w14:textId="77777777" w:rsidTr="00E25F15">
        <w:trPr>
          <w:trHeight w:val="827"/>
        </w:trPr>
        <w:tc>
          <w:tcPr>
            <w:tcW w:w="10885" w:type="dxa"/>
            <w:gridSpan w:val="4"/>
            <w:vAlign w:val="center"/>
          </w:tcPr>
          <w:p w14:paraId="1A5EE3EA" w14:textId="77777777" w:rsidR="00EA417F" w:rsidRPr="00E25F15" w:rsidRDefault="00EA417F" w:rsidP="00EA417F">
            <w:pPr>
              <w:spacing w:before="0"/>
              <w:rPr>
                <w:sz w:val="28"/>
                <w:szCs w:val="28"/>
                <w:lang w:eastAsia="de-DE"/>
              </w:rPr>
            </w:pPr>
            <w:r w:rsidRPr="00E25F15">
              <w:rPr>
                <w:sz w:val="28"/>
                <w:szCs w:val="28"/>
                <w:lang w:eastAsia="de-DE"/>
              </w:rPr>
              <w:t xml:space="preserve">*The accommodative and vergence systems are capable of fixating targets at infinity, but the changes between six feet and infinity are imperceptibly small. The </w:t>
            </w:r>
            <w:proofErr w:type="gramStart"/>
            <w:r w:rsidRPr="00E25F15">
              <w:rPr>
                <w:sz w:val="28"/>
                <w:szCs w:val="28"/>
                <w:lang w:eastAsia="de-DE"/>
              </w:rPr>
              <w:t>near</w:t>
            </w:r>
            <w:proofErr w:type="gramEnd"/>
            <w:r w:rsidRPr="00E25F15">
              <w:rPr>
                <w:sz w:val="28"/>
                <w:szCs w:val="28"/>
                <w:lang w:eastAsia="de-DE"/>
              </w:rPr>
              <w:t xml:space="preserve"> point for accommodation is around four inches for a young adult. But this falls off rapidly with age.</w:t>
            </w:r>
          </w:p>
        </w:tc>
      </w:tr>
      <w:bookmarkEnd w:id="1"/>
      <w:bookmarkEnd w:id="3"/>
    </w:tbl>
    <w:p w14:paraId="1F1DEDEA" w14:textId="77777777" w:rsidR="00EA417F" w:rsidRDefault="00EA417F"/>
    <w:sectPr w:rsidR="00EA417F" w:rsidSect="00E25F15"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715464"/>
    <w:multiLevelType w:val="multilevel"/>
    <w:tmpl w:val="D5B64A64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242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 "/>
      <w:lvlJc w:val="left"/>
      <w:pPr>
        <w:tabs>
          <w:tab w:val="num" w:pos="70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2"/>
        </w:tabs>
        <w:ind w:left="0" w:firstLine="0"/>
      </w:pPr>
      <w:rPr>
        <w:rFonts w:hint="default"/>
      </w:rPr>
    </w:lvl>
  </w:abstractNum>
  <w:num w:numId="1" w16cid:durableId="1115713712">
    <w:abstractNumId w:val="0"/>
  </w:num>
  <w:num w:numId="2" w16cid:durableId="464859530">
    <w:abstractNumId w:val="0"/>
  </w:num>
  <w:num w:numId="3" w16cid:durableId="954602247">
    <w:abstractNumId w:val="0"/>
  </w:num>
  <w:num w:numId="4" w16cid:durableId="817258527">
    <w:abstractNumId w:val="0"/>
  </w:num>
  <w:num w:numId="5" w16cid:durableId="58399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7F"/>
    <w:rsid w:val="000137EA"/>
    <w:rsid w:val="000318E8"/>
    <w:rsid w:val="000A4882"/>
    <w:rsid w:val="000E01FC"/>
    <w:rsid w:val="000E49B0"/>
    <w:rsid w:val="001663B1"/>
    <w:rsid w:val="001C12F7"/>
    <w:rsid w:val="00200C45"/>
    <w:rsid w:val="002024AF"/>
    <w:rsid w:val="00242650"/>
    <w:rsid w:val="00261E94"/>
    <w:rsid w:val="00262139"/>
    <w:rsid w:val="002672F3"/>
    <w:rsid w:val="00275D44"/>
    <w:rsid w:val="00294D38"/>
    <w:rsid w:val="002A62B5"/>
    <w:rsid w:val="002D00F1"/>
    <w:rsid w:val="002E6FD8"/>
    <w:rsid w:val="0034795E"/>
    <w:rsid w:val="00357E90"/>
    <w:rsid w:val="003B328D"/>
    <w:rsid w:val="003C4015"/>
    <w:rsid w:val="00412E52"/>
    <w:rsid w:val="004253B0"/>
    <w:rsid w:val="004716C7"/>
    <w:rsid w:val="004926B2"/>
    <w:rsid w:val="004E2119"/>
    <w:rsid w:val="00535CB4"/>
    <w:rsid w:val="00555B34"/>
    <w:rsid w:val="0056423E"/>
    <w:rsid w:val="005D1FC4"/>
    <w:rsid w:val="005F0895"/>
    <w:rsid w:val="005F52CA"/>
    <w:rsid w:val="006204E0"/>
    <w:rsid w:val="0064749C"/>
    <w:rsid w:val="00670393"/>
    <w:rsid w:val="006C133E"/>
    <w:rsid w:val="006F331E"/>
    <w:rsid w:val="00753947"/>
    <w:rsid w:val="007814D6"/>
    <w:rsid w:val="00795406"/>
    <w:rsid w:val="007B0133"/>
    <w:rsid w:val="007E03DC"/>
    <w:rsid w:val="007E7424"/>
    <w:rsid w:val="008A3033"/>
    <w:rsid w:val="008F2404"/>
    <w:rsid w:val="00941FEB"/>
    <w:rsid w:val="00985118"/>
    <w:rsid w:val="009A437D"/>
    <w:rsid w:val="009B6024"/>
    <w:rsid w:val="009F7B64"/>
    <w:rsid w:val="00A05885"/>
    <w:rsid w:val="00A138B4"/>
    <w:rsid w:val="00A24972"/>
    <w:rsid w:val="00A65E97"/>
    <w:rsid w:val="00A84ACD"/>
    <w:rsid w:val="00AD2EDD"/>
    <w:rsid w:val="00AE2807"/>
    <w:rsid w:val="00B0070D"/>
    <w:rsid w:val="00B44969"/>
    <w:rsid w:val="00B612BD"/>
    <w:rsid w:val="00B92570"/>
    <w:rsid w:val="00BD6D7C"/>
    <w:rsid w:val="00C14640"/>
    <w:rsid w:val="00C70A2C"/>
    <w:rsid w:val="00C766D4"/>
    <w:rsid w:val="00C878AA"/>
    <w:rsid w:val="00D17D42"/>
    <w:rsid w:val="00D246C4"/>
    <w:rsid w:val="00D324C4"/>
    <w:rsid w:val="00D3768B"/>
    <w:rsid w:val="00D66EA5"/>
    <w:rsid w:val="00D67C61"/>
    <w:rsid w:val="00D8607B"/>
    <w:rsid w:val="00DA2DBB"/>
    <w:rsid w:val="00DC7341"/>
    <w:rsid w:val="00DF0044"/>
    <w:rsid w:val="00E0001F"/>
    <w:rsid w:val="00E1104E"/>
    <w:rsid w:val="00E25F15"/>
    <w:rsid w:val="00E7613E"/>
    <w:rsid w:val="00E838A1"/>
    <w:rsid w:val="00E9040E"/>
    <w:rsid w:val="00EA29D2"/>
    <w:rsid w:val="00EA417F"/>
    <w:rsid w:val="00EE00B2"/>
    <w:rsid w:val="00F13921"/>
    <w:rsid w:val="00F409E5"/>
    <w:rsid w:val="00F40EC1"/>
    <w:rsid w:val="00FA3318"/>
    <w:rsid w:val="00FE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6AA16"/>
  <w15:chartTrackingRefBased/>
  <w15:docId w15:val="{06402A70-2764-4740-AE70-0CFE298D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972"/>
    <w:pPr>
      <w:spacing w:before="120"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qFormat/>
    <w:rsid w:val="00294D38"/>
    <w:pPr>
      <w:keepNext/>
      <w:numPr>
        <w:numId w:val="1"/>
      </w:numPr>
      <w:outlineLvl w:val="0"/>
    </w:pPr>
    <w:rPr>
      <w:kern w:val="32"/>
      <w:sz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294D38"/>
    <w:pPr>
      <w:keepNext/>
      <w:numPr>
        <w:ilvl w:val="2"/>
        <w:numId w:val="5"/>
      </w:numPr>
      <w:spacing w:line="360" w:lineRule="auto"/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1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1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1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1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17F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17F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4D38"/>
    <w:rPr>
      <w:kern w:val="32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05885"/>
  </w:style>
  <w:style w:type="character" w:styleId="LineNumber">
    <w:name w:val="line number"/>
    <w:basedOn w:val="DefaultParagraphFont"/>
    <w:uiPriority w:val="99"/>
    <w:semiHidden/>
    <w:unhideWhenUsed/>
    <w:rsid w:val="00200C45"/>
  </w:style>
  <w:style w:type="character" w:customStyle="1" w:styleId="Heading2Char">
    <w:name w:val="Heading 2 Char"/>
    <w:basedOn w:val="DefaultParagraphFont"/>
    <w:link w:val="Heading2"/>
    <w:uiPriority w:val="9"/>
    <w:semiHidden/>
    <w:rsid w:val="00EA4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1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1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1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1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1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1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17F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17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1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1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1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1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1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1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17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A417F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table" w:customStyle="1" w:styleId="TableGrid2">
    <w:name w:val="Table Grid2"/>
    <w:basedOn w:val="TableNormal"/>
    <w:next w:val="TableGrid"/>
    <w:uiPriority w:val="39"/>
    <w:rsid w:val="00EA417F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A4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57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255</Words>
  <Characters>1276</Characters>
  <Application>Microsoft Office Word</Application>
  <DocSecurity>0</DocSecurity>
  <Lines>94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Bahill</dc:creator>
  <cp:keywords/>
  <dc:description/>
  <cp:lastModifiedBy>Terry Bahill</cp:lastModifiedBy>
  <cp:revision>3</cp:revision>
  <dcterms:created xsi:type="dcterms:W3CDTF">2024-08-24T17:17:00Z</dcterms:created>
  <dcterms:modified xsi:type="dcterms:W3CDTF">2024-08-28T16:24:00Z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ff7f815c-266a-426d-9183-966ceefc0cb8</vt:lpwstr>
  </property>
</Properties>
</file>